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8F" w:rsidRPr="001A583B" w:rsidRDefault="00B9538F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b/>
          <w:color w:val="000000"/>
          <w:szCs w:val="20"/>
        </w:rPr>
        <w:t>Predmet dane</w:t>
      </w:r>
    </w:p>
    <w:p w:rsidR="00FD4C5A" w:rsidRPr="001A583B" w:rsidRDefault="00B9538F" w:rsidP="00FD4C5A">
      <w:pPr>
        <w:pStyle w:val="Odsekzoznamu"/>
        <w:numPr>
          <w:ilvl w:val="0"/>
          <w:numId w:val="1"/>
        </w:numPr>
        <w:rPr>
          <w:rStyle w:val="apple-style-span"/>
          <w:rFonts w:ascii="Times New Roman" w:hAnsi="Times New Roman" w:cs="Times New Roman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Predmetom dane sú:</w:t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a) príjmy zo závislej činnosti (§ 5),</w:t>
      </w:r>
      <w:r w:rsidRPr="001A583B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b) príjmy z podnikania, z inej samostatnej zárobkovej činnosti a z prenájmu (§ 6),</w:t>
      </w:r>
      <w:r w:rsidRPr="001A583B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c) príjmy z kapitálového majetku (§ 7),</w:t>
      </w:r>
      <w:r w:rsidRPr="001A583B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d) ostatné príjmy (§ 8).</w:t>
      </w:r>
    </w:p>
    <w:p w:rsidR="00FD4C5A" w:rsidRPr="001A583B" w:rsidRDefault="00FD4C5A" w:rsidP="00FD4C5A">
      <w:pPr>
        <w:pStyle w:val="Odsekzoznamu"/>
        <w:rPr>
          <w:rStyle w:val="apple-style-span"/>
          <w:rFonts w:ascii="Times New Roman" w:hAnsi="Times New Roman" w:cs="Times New Roman"/>
          <w:szCs w:val="20"/>
        </w:rPr>
      </w:pPr>
    </w:p>
    <w:p w:rsidR="00FD4C5A" w:rsidRPr="001A583B" w:rsidRDefault="00FD4C5A" w:rsidP="00FD4C5A">
      <w:pPr>
        <w:pStyle w:val="Odsekzoznamu"/>
        <w:numPr>
          <w:ilvl w:val="0"/>
          <w:numId w:val="1"/>
        </w:numPr>
        <w:rPr>
          <w:rStyle w:val="apple-style-span"/>
          <w:rFonts w:ascii="Times New Roman" w:hAnsi="Times New Roman" w:cs="Times New Roman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Medzi príjmy, ktoré nie sú predmetom dane patria:</w:t>
      </w:r>
    </w:p>
    <w:p w:rsidR="00FD4C5A" w:rsidRPr="001A583B" w:rsidRDefault="00FD4C5A" w:rsidP="00FD4C5A">
      <w:pPr>
        <w:pStyle w:val="Odsekzoznamu"/>
        <w:rPr>
          <w:rFonts w:ascii="Times New Roman" w:hAnsi="Times New Roman" w:cs="Times New Roman"/>
          <w:szCs w:val="20"/>
        </w:rPr>
      </w:pPr>
    </w:p>
    <w:p w:rsidR="00FD4C5A" w:rsidRPr="001A583B" w:rsidRDefault="00FD4C5A" w:rsidP="00FD4C5A">
      <w:pPr>
        <w:pStyle w:val="Odsekzoznamu"/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</w:rPr>
        <w:t xml:space="preserve">a) </w:t>
      </w:r>
      <w:r w:rsidR="00540E27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prijatá náhrada oprávnenej osoby podľa osobitných predpisov, príjem získaný vydaním, darovaním alebo dedením</w:t>
      </w:r>
      <w:r w:rsidR="00164DCD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,</w:t>
      </w:r>
    </w:p>
    <w:p w:rsidR="00FD4C5A" w:rsidRPr="001A583B" w:rsidRDefault="00FD4C5A" w:rsidP="00FD4C5A">
      <w:pPr>
        <w:pStyle w:val="Odsekzoznamu"/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</w:rPr>
        <w:t>b) prijatý úver alebo pôžička,</w:t>
      </w:r>
    </w:p>
    <w:p w:rsidR="00FD4C5A" w:rsidRPr="001A583B" w:rsidRDefault="00FD4C5A" w:rsidP="00FD4C5A">
      <w:pPr>
        <w:pStyle w:val="Odsekzoznamu"/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</w:rPr>
        <w:t>c) podiel na zisku (dividena) vyplácaný zo zisku po zdanení obchodnej spoločnosti                                                                        alebo družstva</w:t>
      </w:r>
      <w:r w:rsidR="00164DCD" w:rsidRPr="001A583B">
        <w:rPr>
          <w:rFonts w:ascii="Times New Roman" w:hAnsi="Times New Roman" w:cs="Times New Roman"/>
          <w:szCs w:val="20"/>
        </w:rPr>
        <w:t>,</w:t>
      </w:r>
      <w:r w:rsidRPr="001A583B">
        <w:rPr>
          <w:rFonts w:ascii="Times New Roman" w:hAnsi="Times New Roman" w:cs="Times New Roman"/>
          <w:szCs w:val="20"/>
        </w:rPr>
        <w:t xml:space="preserve"> </w:t>
      </w:r>
    </w:p>
    <w:p w:rsidR="00FD4C5A" w:rsidRPr="001A583B" w:rsidRDefault="00FD4C5A" w:rsidP="00FD4C5A">
      <w:pPr>
        <w:pStyle w:val="Odsekzoznamu"/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</w:rPr>
        <w:t xml:space="preserve">d)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daň z pridanej hodnoty  uplatnená v cene tovaru alebo služby, ak ide o platiteľa tejto dane,</w:t>
      </w:r>
      <w:r w:rsidRPr="001A583B">
        <w:rPr>
          <w:rFonts w:ascii="Times New Roman" w:hAnsi="Times New Roman" w:cs="Times New Roman"/>
          <w:szCs w:val="20"/>
        </w:rPr>
        <w:t xml:space="preserve">    </w:t>
      </w:r>
    </w:p>
    <w:p w:rsidR="00540E27" w:rsidRPr="001A583B" w:rsidRDefault="00540E27" w:rsidP="00FD4C5A">
      <w:pPr>
        <w:pStyle w:val="Odsekzoznamu"/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Fonts w:ascii="Times New Roman" w:hAnsi="Times New Roman" w:cs="Times New Roman"/>
          <w:szCs w:val="20"/>
        </w:rPr>
        <w:t xml:space="preserve">e)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príjem plynúci z dôvodu nadobudnutia nových akcií a</w:t>
      </w:r>
      <w:r w:rsidR="00164DCD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 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podielov</w:t>
      </w:r>
      <w:r w:rsidR="00164DCD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.</w:t>
      </w:r>
    </w:p>
    <w:p w:rsidR="00164DCD" w:rsidRPr="001A583B" w:rsidRDefault="00164DCD" w:rsidP="00FD4C5A">
      <w:pPr>
        <w:pStyle w:val="Odsekzoznamu"/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f) atď. podľa zákona.</w:t>
      </w:r>
    </w:p>
    <w:p w:rsidR="00164DCD" w:rsidRPr="001A583B" w:rsidRDefault="00164DCD" w:rsidP="00FD4C5A">
      <w:pPr>
        <w:pStyle w:val="Odsekzoznamu"/>
        <w:rPr>
          <w:rStyle w:val="apple-style-span"/>
          <w:rFonts w:ascii="Times New Roman" w:hAnsi="Times New Roman" w:cs="Times New Roman"/>
          <w:color w:val="000000"/>
          <w:szCs w:val="20"/>
        </w:rPr>
      </w:pPr>
    </w:p>
    <w:p w:rsidR="00164DCD" w:rsidRPr="001A583B" w:rsidRDefault="00164DCD" w:rsidP="00164DCD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b/>
          <w:color w:val="000000"/>
          <w:szCs w:val="20"/>
        </w:rPr>
        <w:t>Daňovníci dane z príjmov FO</w:t>
      </w:r>
    </w:p>
    <w:p w:rsidR="00164DCD" w:rsidRPr="001A583B" w:rsidRDefault="00164DCD" w:rsidP="00164DCD">
      <w:pPr>
        <w:contextualSpacing/>
        <w:rPr>
          <w:rStyle w:val="apple-style-span"/>
          <w:rFonts w:ascii="Times New Roman" w:hAnsi="Times New Roman" w:cs="Times New Roman"/>
          <w:color w:val="000000"/>
          <w:szCs w:val="20"/>
        </w:rPr>
      </w:pPr>
    </w:p>
    <w:p w:rsidR="00164DCD" w:rsidRPr="001A583B" w:rsidRDefault="00164DCD" w:rsidP="00164DCD">
      <w:pPr>
        <w:contextualSpacing/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Pri dani z príjmov vystupujú 2 skupiny daňových subjektov:</w:t>
      </w:r>
    </w:p>
    <w:p w:rsidR="00164DCD" w:rsidRPr="001A583B" w:rsidRDefault="00164DCD" w:rsidP="00164DCD">
      <w:pPr>
        <w:pStyle w:val="Odsekzoznamu"/>
        <w:numPr>
          <w:ilvl w:val="0"/>
          <w:numId w:val="6"/>
        </w:num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daňovník,</w:t>
      </w:r>
    </w:p>
    <w:p w:rsidR="00164DCD" w:rsidRPr="001A583B" w:rsidRDefault="00164DCD" w:rsidP="00164DCD">
      <w:pPr>
        <w:pStyle w:val="Odsekzoznamu"/>
        <w:numPr>
          <w:ilvl w:val="0"/>
          <w:numId w:val="6"/>
        </w:num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platiteľ.</w:t>
      </w:r>
    </w:p>
    <w:p w:rsidR="00164DCD" w:rsidRPr="001A583B" w:rsidRDefault="00164DCD" w:rsidP="00164DCD">
      <w:p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  <w:u w:val="wave"/>
        </w:rPr>
        <w:t>Daňovníkom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sú FO, ktoré delíme na 2 základné skupiny:</w:t>
      </w:r>
    </w:p>
    <w:p w:rsidR="00164DCD" w:rsidRPr="001A583B" w:rsidRDefault="00164DCD" w:rsidP="00164DCD">
      <w:pPr>
        <w:pStyle w:val="Odsekzoznamu"/>
        <w:numPr>
          <w:ilvl w:val="0"/>
          <w:numId w:val="7"/>
        </w:num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  <w:u w:val="single"/>
        </w:rPr>
        <w:t>daňovníci s neobmedzenou daňovou povinnosťou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(daňoví tuzemci)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-  Sú to FO, ktoré majú na území SR trvalý pobyt alebo sa tu obvykle zdržiava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jú. FO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sa obvykle zdržia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va na území SR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, 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ak na území SR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nemá trvalý pobyt, ale sa tu zdržiava aspoň 183 dní v príslušnom kalendárnom roku, a to súvis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le alebo v niekoľkých obdobiach.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D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o tohto obdobia sa započítava každý, aj začatý deň pobytu</w:t>
      </w:r>
      <w:r w:rsidR="009F711F"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. Takéto osoby odvádzajú štátu daň z tzv. celosvetových príjmov ( príjmy zo SR aj v zahraničí).</w:t>
      </w:r>
    </w:p>
    <w:p w:rsidR="00FD4C5A" w:rsidRPr="001A583B" w:rsidRDefault="009F711F" w:rsidP="00FD4C5A">
      <w:pPr>
        <w:pStyle w:val="Odsekzoznamu"/>
        <w:numPr>
          <w:ilvl w:val="0"/>
          <w:numId w:val="7"/>
        </w:numPr>
        <w:rPr>
          <w:rStyle w:val="apple-style-span"/>
          <w:rFonts w:ascii="Times New Roman" w:hAnsi="Times New Roman" w:cs="Times New Roman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  <w:u w:val="single"/>
        </w:rPr>
        <w:t>daňovníci s obmedzenou daňovou povinnosťou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(daňoví cudzozemci)- sú FO, ktoré nemajú na území SR trvalý pobyt, a ani sa tu obvykle nezdržiavajú. Takéto osoby odvádzajú štátu daň len z takých príjmov, ktorých zdroj bol na území SR. </w:t>
      </w:r>
    </w:p>
    <w:p w:rsidR="009F711F" w:rsidRPr="001A583B" w:rsidRDefault="000D41E5" w:rsidP="009F711F">
      <w:pPr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  <w:u w:val="wave"/>
        </w:rPr>
        <w:t>Platiteľom dane</w:t>
      </w:r>
      <w:r w:rsidRPr="001A583B">
        <w:rPr>
          <w:rFonts w:ascii="Times New Roman" w:hAnsi="Times New Roman" w:cs="Times New Roman"/>
          <w:szCs w:val="20"/>
        </w:rPr>
        <w:t xml:space="preserve"> -  je taká osoba, ktorá zráža daňovníkom daň z príjmov. Odvádza ju za daňovníka na daňový úrad a majetkovo za ňu zodpovedá. Platiteľom môže byť FO alebo PO, ktorá zamestnáva pracovníkov, prípadne zráža daň z príjmov v špecifických prípadoch.</w:t>
      </w:r>
    </w:p>
    <w:p w:rsidR="008B2EB2" w:rsidRPr="001A583B" w:rsidRDefault="008B2EB2" w:rsidP="009F711F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b/>
          <w:color w:val="000000"/>
          <w:szCs w:val="20"/>
        </w:rPr>
        <w:t>Sadzba dane</w:t>
      </w:r>
    </w:p>
    <w:p w:rsidR="000D41E5" w:rsidRPr="001A583B" w:rsidRDefault="000D41E5" w:rsidP="009F711F">
      <w:p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Sadzba dane je 19 % zo základu dane</w:t>
      </w:r>
      <w:r w:rsidR="008B2EB2" w:rsidRPr="001A583B">
        <w:rPr>
          <w:rFonts w:ascii="Times New Roman" w:hAnsi="Times New Roman" w:cs="Times New Roman"/>
          <w:color w:val="000000"/>
          <w:szCs w:val="20"/>
        </w:rPr>
        <w:t xml:space="preserve">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fyzických osôb zníženého o daňovú stratu a o nezdaniteľné časti základu dane (§ 11),</w:t>
      </w:r>
    </w:p>
    <w:p w:rsidR="00D836AE" w:rsidRDefault="00D836AE" w:rsidP="009F711F">
      <w:pPr>
        <w:rPr>
          <w:rFonts w:ascii="Times New Roman" w:hAnsi="Times New Roman" w:cs="Times New Roman"/>
          <w:b/>
          <w:szCs w:val="20"/>
        </w:rPr>
      </w:pPr>
    </w:p>
    <w:p w:rsidR="00D836AE" w:rsidRDefault="00D836AE" w:rsidP="009F711F">
      <w:pPr>
        <w:rPr>
          <w:rFonts w:ascii="Times New Roman" w:hAnsi="Times New Roman" w:cs="Times New Roman"/>
          <w:b/>
          <w:szCs w:val="20"/>
        </w:rPr>
      </w:pPr>
    </w:p>
    <w:p w:rsidR="00D836AE" w:rsidRDefault="00D836AE" w:rsidP="009F711F">
      <w:pPr>
        <w:rPr>
          <w:rFonts w:ascii="Times New Roman" w:hAnsi="Times New Roman" w:cs="Times New Roman"/>
          <w:b/>
          <w:szCs w:val="20"/>
        </w:rPr>
      </w:pPr>
    </w:p>
    <w:p w:rsidR="008B2EB2" w:rsidRPr="001A583B" w:rsidRDefault="009F026D" w:rsidP="009F711F">
      <w:p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b/>
          <w:szCs w:val="20"/>
        </w:rPr>
        <w:lastRenderedPageBreak/>
        <w:t>Príjmy oslobodené od dane</w:t>
      </w:r>
    </w:p>
    <w:p w:rsidR="009F026D" w:rsidRPr="001A583B" w:rsidRDefault="009F026D" w:rsidP="009F026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 xml:space="preserve">príjmy zo sociálnej sféry- </w:t>
      </w:r>
      <w:r w:rsidRPr="001A583B">
        <w:rPr>
          <w:rFonts w:ascii="Times New Roman" w:hAnsi="Times New Roman" w:cs="Times New Roman"/>
          <w:szCs w:val="20"/>
        </w:rPr>
        <w:t xml:space="preserve">dávky, podpory a služby zo zdravotného poistenia, sociálneho poistenia, nemocenského zabezpečenia, úrazového zabezpečenia, dôchodky zo starobného dôchodkového sporenia, štátne dávky, štátne sociálne dávky, dávy sociálnej pomoci, daňvoý bonus, atď. </w:t>
      </w:r>
    </w:p>
    <w:p w:rsidR="00895473" w:rsidRPr="001A583B" w:rsidRDefault="00895473" w:rsidP="009F026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>podpora pozitívnych fondov-</w:t>
      </w:r>
      <w:r w:rsidRPr="001A583B">
        <w:rPr>
          <w:rFonts w:ascii="Times New Roman" w:hAnsi="Times New Roman" w:cs="Times New Roman"/>
          <w:b/>
          <w:szCs w:val="20"/>
        </w:rPr>
        <w:t xml:space="preserve"> </w:t>
      </w:r>
      <w:r w:rsidRPr="001A583B">
        <w:rPr>
          <w:rFonts w:ascii="Times New Roman" w:hAnsi="Times New Roman" w:cs="Times New Roman"/>
          <w:szCs w:val="20"/>
        </w:rPr>
        <w:t>plnenia z komerčného poistenia osôb, prijaté náhrady od poisťovní za škody na majetku, prijaté plnenia od štátu v rámci aktívnej politiky trhu práce, štipendiá poskytované štátom, nadáciami</w:t>
      </w:r>
    </w:p>
    <w:p w:rsidR="00895473" w:rsidRPr="001A583B" w:rsidRDefault="00895473" w:rsidP="009F026D">
      <w:pPr>
        <w:pStyle w:val="Odsekzoznamu"/>
        <w:numPr>
          <w:ilvl w:val="0"/>
          <w:numId w:val="8"/>
        </w:numPr>
        <w:rPr>
          <w:rStyle w:val="apple-style-span"/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>prijaté ceny a výhry-</w:t>
      </w:r>
      <w:r w:rsidRPr="001A583B">
        <w:rPr>
          <w:rFonts w:ascii="Times New Roman" w:hAnsi="Times New Roman" w:cs="Times New Roman"/>
          <w:b/>
          <w:szCs w:val="20"/>
        </w:rPr>
        <w:t xml:space="preserve">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výhry v lotériách a iných podobných hrách prevádzkovaných na základe povolenia vydaného podľa osobitných predpisov a obdobné výhry zo zahraničia. Ceny a ostatné výhry z verejných, športových či reklamných súťaží len vtedy, ak ich hodnota nepresiahla 165,97 € za cenu alebo výhru.</w:t>
      </w:r>
    </w:p>
    <w:p w:rsidR="00895473" w:rsidRPr="001A583B" w:rsidRDefault="00895473" w:rsidP="009F026D">
      <w:pPr>
        <w:pStyle w:val="Odsekzoznamu"/>
        <w:numPr>
          <w:ilvl w:val="0"/>
          <w:numId w:val="8"/>
        </w:numPr>
        <w:rPr>
          <w:rStyle w:val="apple-style-span"/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>príjmy z predaja hnuteľností-</w:t>
      </w:r>
      <w:r w:rsidRPr="001A583B">
        <w:rPr>
          <w:rFonts w:ascii="Times New Roman" w:hAnsi="Times New Roman" w:cs="Times New Roman"/>
          <w:b/>
          <w:szCs w:val="20"/>
        </w:rPr>
        <w:t xml:space="preserve">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z predaja hnuteľnej veci okrem príjmov z predaja hnuteľnej veci, ktorá bola zahrnutá do obchodného majetku, a to do piatich rokov od jej vyradenia z obchodného majetku; za hnuteľnú vec sa na účely tohto zákona nepovažuje cenný papier.</w:t>
      </w:r>
    </w:p>
    <w:p w:rsidR="00673803" w:rsidRPr="001A583B" w:rsidRDefault="00895473" w:rsidP="009F026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>príjmy z predaja nehnuteľností</w:t>
      </w:r>
    </w:p>
    <w:p w:rsidR="00673803" w:rsidRPr="001A583B" w:rsidRDefault="00673803" w:rsidP="00673803">
      <w:pPr>
        <w:pStyle w:val="Odsekzoznamu"/>
        <w:numPr>
          <w:ilvl w:val="0"/>
          <w:numId w:val="9"/>
        </w:numPr>
        <w:rPr>
          <w:rStyle w:val="apple-style-span"/>
          <w:rFonts w:ascii="Times New Roman" w:hAnsi="Times New Roman" w:cs="Times New Roman"/>
          <w:b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z predaja nehnuteľnosti, na ktorú sa nevzťahuje oslobodenie podľa</w:t>
      </w:r>
      <w:r w:rsidRPr="001A583B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Pr="001A583B">
        <w:rPr>
          <w:rStyle w:val="apple-converted-space"/>
          <w:rFonts w:ascii="Times New Roman" w:hAnsi="Times New Roman" w:cs="Times New Roman"/>
          <w:szCs w:val="20"/>
        </w:rPr>
        <w:t> </w:t>
      </w:r>
      <w:r w:rsidRPr="001A583B">
        <w:rPr>
          <w:rStyle w:val="apple-style-span"/>
          <w:rFonts w:ascii="Times New Roman" w:hAnsi="Times New Roman" w:cs="Times New Roman"/>
          <w:bCs/>
          <w:szCs w:val="20"/>
        </w:rPr>
        <w:t>písmena b)</w:t>
      </w:r>
      <w:r w:rsidRPr="001A583B">
        <w:rPr>
          <w:rStyle w:val="apple-style-span"/>
          <w:rFonts w:ascii="Times New Roman" w:hAnsi="Times New Roman" w:cs="Times New Roman"/>
          <w:szCs w:val="20"/>
        </w:rPr>
        <w:t xml:space="preserve">, </w:t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a to po uplynutí piatich rokov odo dňa jej nadobudnutia alebo jej vyradenia z obchodného majetku, ak bola táto nehnuteľnosť zahrnutá do obchodného majetku, okrem príjmov, ktoré plynú daňovníkovi podľa zmluvy o budúcom predaji nehnuteľnosti uzavretej do piatich rokov od jej nadobudnutia alebo od jej vyradenia z obchodného majetku, aj keď kúpna zmluva bude uzatvorená až po piatich rokoch od jej nadobudnutia alebo vyradenia z obchodného majetku,</w:t>
      </w:r>
    </w:p>
    <w:p w:rsidR="00673803" w:rsidRPr="001A583B" w:rsidRDefault="00673803" w:rsidP="00673803">
      <w:pPr>
        <w:pStyle w:val="Odsekzoznamu"/>
        <w:ind w:left="1211"/>
        <w:rPr>
          <w:rStyle w:val="apple-style-span"/>
          <w:rFonts w:ascii="Times New Roman" w:hAnsi="Times New Roman" w:cs="Times New Roman"/>
          <w:b/>
          <w:szCs w:val="20"/>
        </w:rPr>
      </w:pPr>
    </w:p>
    <w:p w:rsidR="00673803" w:rsidRPr="001A583B" w:rsidRDefault="00673803" w:rsidP="00673803">
      <w:pPr>
        <w:pStyle w:val="Odsekzoznamu"/>
        <w:numPr>
          <w:ilvl w:val="0"/>
          <w:numId w:val="9"/>
        </w:numPr>
        <w:spacing w:after="240"/>
        <w:rPr>
          <w:rStyle w:val="apple-converted-space"/>
          <w:rFonts w:ascii="Times New Roman" w:hAnsi="Times New Roman" w:cs="Times New Roman"/>
          <w:b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z predaja nehnuteľnosti nadobudnutej dedením (postupným dedením) v priamom rade alebo niektorým z manželov, ak uplynie aspoň päť rokov odo dňa nadobudnutia tejto nehnuteľnosti preukázateľne do vlastníctva alebo spoluvlastníctva poručiteľa (poručiteľov) alebo vyradenia z obchodného majetku, ak bola táto nehnuteľnosť zahrnutá do obchodného majetku, okrem príjmov, ktoré plynú daňovníkovi podľa zmluvy o budúcom predaji nehnuteľnosti uzavretej do piatich rokov od jej nadobudnutia alebo od jej vyradenia z obchodného majetku, aj keď kúpna zmluva bude uzatvorená až po piatich rokoch od jej nadobudnutia alebo vyradenia z obchodného majetku,</w:t>
      </w:r>
      <w:r w:rsidRPr="001A583B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</w:p>
    <w:p w:rsidR="00673803" w:rsidRPr="001A583B" w:rsidRDefault="00673803" w:rsidP="00673803">
      <w:pPr>
        <w:pStyle w:val="Odsekzoznamu"/>
        <w:rPr>
          <w:rFonts w:ascii="Times New Roman" w:hAnsi="Times New Roman" w:cs="Times New Roman"/>
          <w:b/>
          <w:szCs w:val="20"/>
        </w:rPr>
      </w:pPr>
    </w:p>
    <w:p w:rsidR="00673803" w:rsidRPr="001A583B" w:rsidRDefault="00673803" w:rsidP="00673803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 xml:space="preserve">oslobodené príjmy zo závislej činnosti- </w:t>
      </w:r>
      <w:r w:rsidRPr="001A583B">
        <w:rPr>
          <w:rFonts w:ascii="Times New Roman" w:hAnsi="Times New Roman" w:cs="Times New Roman"/>
          <w:szCs w:val="20"/>
        </w:rPr>
        <w:t>zákonné poistné platené zamestnávateľom za zamestnanca, náhrada príjmu pri dočasnej PN, atď. podľa zákona,</w:t>
      </w:r>
    </w:p>
    <w:p w:rsidR="00673803" w:rsidRPr="001A583B" w:rsidRDefault="001A583B" w:rsidP="00673803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Cs w:val="20"/>
        </w:rPr>
      </w:pPr>
      <w:r w:rsidRPr="001A583B">
        <w:rPr>
          <w:rFonts w:ascii="Times New Roman" w:hAnsi="Times New Roman" w:cs="Times New Roman"/>
          <w:i/>
          <w:szCs w:val="20"/>
        </w:rPr>
        <w:t>ďalšie príjmy</w:t>
      </w:r>
    </w:p>
    <w:p w:rsidR="001A583B" w:rsidRPr="001A583B" w:rsidRDefault="001A583B" w:rsidP="001A583B">
      <w:pPr>
        <w:rPr>
          <w:rFonts w:ascii="Times New Roman" w:hAnsi="Times New Roman" w:cs="Times New Roman"/>
          <w:szCs w:val="20"/>
        </w:rPr>
      </w:pPr>
      <w:r w:rsidRPr="001A583B">
        <w:rPr>
          <w:rFonts w:ascii="Times New Roman" w:hAnsi="Times New Roman" w:cs="Times New Roman"/>
          <w:szCs w:val="20"/>
        </w:rPr>
        <w:t>Príjmy oslobodené od dane daňovník neuvádza v daňovom priznaní.</w:t>
      </w:r>
    </w:p>
    <w:p w:rsidR="001A583B" w:rsidRPr="001A583B" w:rsidRDefault="001A583B" w:rsidP="001A583B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Cs w:val="20"/>
        </w:rPr>
        <w:t>Základ dane</w:t>
      </w:r>
    </w:p>
    <w:p w:rsidR="001A583B" w:rsidRDefault="001A583B" w:rsidP="001A583B">
      <w:pPr>
        <w:rPr>
          <w:rStyle w:val="apple-style-span"/>
          <w:rFonts w:ascii="Times New Roman" w:hAnsi="Times New Roman" w:cs="Times New Roman"/>
          <w:color w:val="000000"/>
          <w:szCs w:val="20"/>
        </w:rPr>
      </w:pP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>Základ dane sa zistí ako súčet čiastkových základov dane podľa jednotlivých druhov príjmov uvedených v § 5 až 8.</w:t>
      </w:r>
      <w:r w:rsidRPr="001A583B">
        <w:rPr>
          <w:rFonts w:ascii="Times New Roman" w:hAnsi="Times New Roman" w:cs="Times New Roman"/>
          <w:color w:val="000000"/>
          <w:szCs w:val="20"/>
        </w:rPr>
        <w:br/>
      </w:r>
      <w:r w:rsidRPr="001A583B"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Základ dane zistený podľa jednotlivých druhov príjmov uvedených v § 6 až 8 sa znižuje o daňovú stratu. Daňovú stratu alebo jej časť, ktorú nemožno uplatniť pri zdanení príjmov v zdaňovacom období, v ktorom vznikla, možno odpočítať od úhrnu čiastkových základov dane zistených podľa jednotlivých druhov príjmov uvedených v § 6 až 8 v nasledujúcich zdaňovacích obdobiach podľa § 30.</w:t>
      </w:r>
    </w:p>
    <w:p w:rsidR="00D836AE" w:rsidRDefault="00D836AE" w:rsidP="001A583B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</w:p>
    <w:p w:rsidR="00D836AE" w:rsidRDefault="00D836AE" w:rsidP="001A583B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</w:p>
    <w:p w:rsidR="00D836AE" w:rsidRDefault="00D836AE" w:rsidP="001A583B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</w:p>
    <w:p w:rsidR="001A583B" w:rsidRDefault="001A583B" w:rsidP="001A583B">
      <w:pPr>
        <w:rPr>
          <w:rStyle w:val="apple-style-span"/>
          <w:rFonts w:ascii="Times New Roman" w:hAnsi="Times New Roman" w:cs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Cs w:val="20"/>
        </w:rPr>
        <w:lastRenderedPageBreak/>
        <w:t>Preddavky na daň</w:t>
      </w:r>
    </w:p>
    <w:p w:rsidR="001A583B" w:rsidRDefault="001A583B" w:rsidP="001A583B">
      <w:pPr>
        <w:contextualSpacing/>
        <w:rPr>
          <w:rStyle w:val="apple-style-span"/>
          <w:rFonts w:ascii="Times New Roman" w:hAnsi="Times New Roman" w:cs="Times New Roman"/>
          <w:color w:val="000000"/>
          <w:szCs w:val="20"/>
        </w:rPr>
      </w:pPr>
    </w:p>
    <w:p w:rsidR="001A583B" w:rsidRDefault="001A583B" w:rsidP="001A583B">
      <w:pPr>
        <w:contextualSpacing/>
        <w:rPr>
          <w:rStyle w:val="apple-style-span"/>
          <w:rFonts w:ascii="Times New Roman" w:hAnsi="Times New Roman" w:cs="Times New Roman"/>
          <w:color w:val="000000"/>
          <w:szCs w:val="20"/>
        </w:rPr>
      </w:pPr>
      <w:r>
        <w:rPr>
          <w:rStyle w:val="apple-style-span"/>
          <w:rFonts w:ascii="Times New Roman" w:hAnsi="Times New Roman" w:cs="Times New Roman"/>
          <w:color w:val="000000"/>
          <w:szCs w:val="20"/>
        </w:rPr>
        <w:t>Sú tri spôsoby platenia preddavkov:</w:t>
      </w:r>
    </w:p>
    <w:p w:rsidR="001A583B" w:rsidRDefault="001A583B" w:rsidP="001A583B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prostredníctvom svojho zamestávateľa, týka sa to tých FO, ktoré majú príjem zo závislej činnosti. Zamestnávateľ zráža zamestnancovi z príjmu preddavky, ktoré vypočíta zo zdaniteľnej mzdy a odvádza ich daňovému úradu</w:t>
      </w:r>
    </w:p>
    <w:p w:rsidR="001D1FA5" w:rsidRDefault="001A583B" w:rsidP="001D1FA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daňovník platí preddavky priamo daňovému úradu. Tento spôsob uplatňujú tie FO, ktoré majú príjem z podnikania, z inej samost. zárobkovej činnosti a z prenájmu. </w:t>
      </w:r>
      <w:r w:rsidR="001D1FA5">
        <w:rPr>
          <w:rFonts w:ascii="Times New Roman" w:hAnsi="Times New Roman" w:cs="Times New Roman"/>
          <w:color w:val="000000"/>
          <w:szCs w:val="20"/>
        </w:rPr>
        <w:t>Vychádza sa z poslednej známej daňovej povinnosti:</w:t>
      </w:r>
    </w:p>
    <w:p w:rsidR="001D1FA5" w:rsidRDefault="001D1FA5" w:rsidP="001D1FA5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ak bola posledná známa daň. pov. menšia resp. rovná 1659,70 € - preddavky neplatí</w:t>
      </w:r>
    </w:p>
    <w:p w:rsidR="001D1FA5" w:rsidRDefault="001D1FA5" w:rsidP="001D1FA5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ak bola väčšia ako 1659,70 € a nižšia ako 16 596,96 € platí preddavky vo výške </w:t>
      </w:r>
      <w:r w:rsidRPr="001D1FA5">
        <w:rPr>
          <w:rFonts w:ascii="Times New Roman" w:hAnsi="Times New Roman" w:cs="Times New Roman"/>
          <w:color w:val="000000"/>
          <w:szCs w:val="20"/>
        </w:rPr>
        <w:t xml:space="preserve">1/4  </w:t>
      </w:r>
      <w:r>
        <w:rPr>
          <w:rFonts w:ascii="Times New Roman" w:hAnsi="Times New Roman" w:cs="Times New Roman"/>
          <w:color w:val="000000"/>
          <w:szCs w:val="20"/>
        </w:rPr>
        <w:t>poslednej známej daňovej povinnosti,</w:t>
      </w:r>
    </w:p>
    <w:p w:rsidR="001D1FA5" w:rsidRDefault="001D1FA5" w:rsidP="001D1FA5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väčšia ako 16 596,96 € platí preddavky vo výške 1/12 poslednej známej daňovej povinnosti.</w:t>
      </w:r>
    </w:p>
    <w:p w:rsidR="001D1FA5" w:rsidRDefault="001D1FA5" w:rsidP="001D1FA5">
      <w:pPr>
        <w:pStyle w:val="Odsekzoznamu"/>
        <w:ind w:left="1440"/>
        <w:rPr>
          <w:rFonts w:ascii="Times New Roman" w:hAnsi="Times New Roman" w:cs="Times New Roman"/>
          <w:color w:val="000000"/>
          <w:szCs w:val="20"/>
        </w:rPr>
      </w:pPr>
    </w:p>
    <w:p w:rsidR="001D1FA5" w:rsidRDefault="001D1FA5" w:rsidP="001D1FA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ak má daňovník príjmy aj zo závislej činnosti aj z podnikania z inej sam. zár. č. a prenájmu, prípadne aj ostatné druhy príjmov tak platí preddavky prvým aj druhým spôsobom súčasne.</w:t>
      </w:r>
    </w:p>
    <w:p w:rsidR="001D1FA5" w:rsidRDefault="001D1FA5" w:rsidP="001D1FA5">
      <w:pPr>
        <w:pStyle w:val="Odsekzoznamu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Zákon umožňuje v tomto prípade znížiť preddavky vypočítané pri 2. spôsobe nasledovne:</w:t>
      </w:r>
    </w:p>
    <w:p w:rsidR="001D1FA5" w:rsidRDefault="001D1FA5" w:rsidP="001D1FA5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na polovicu – ak ČZD z príjmov zo závislej činnosti sa podiela na celkovom základe menej resp. </w:t>
      </w:r>
      <w:r w:rsidR="00D836AE">
        <w:rPr>
          <w:rFonts w:ascii="Times New Roman" w:hAnsi="Times New Roman" w:cs="Times New Roman"/>
          <w:color w:val="000000"/>
          <w:szCs w:val="20"/>
        </w:rPr>
        <w:t>rovnými 50 %,</w:t>
      </w:r>
    </w:p>
    <w:p w:rsidR="00D836AE" w:rsidRPr="001D1FA5" w:rsidRDefault="00D836AE" w:rsidP="001D1FA5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na 0 – ak ČZD z príjmov zo závislej činnosti sa na celkovom základe dane podiela viac ako 50 %.</w:t>
      </w:r>
    </w:p>
    <w:p w:rsidR="00673803" w:rsidRPr="00673803" w:rsidRDefault="00673803" w:rsidP="00673803">
      <w:pPr>
        <w:spacing w:after="240"/>
        <w:ind w:left="491"/>
        <w:rPr>
          <w:rFonts w:ascii="Times New Roman" w:hAnsi="Times New Roman" w:cs="Times New Roman"/>
          <w:b/>
          <w:sz w:val="24"/>
        </w:rPr>
      </w:pPr>
    </w:p>
    <w:p w:rsidR="009F026D" w:rsidRPr="009F026D" w:rsidRDefault="009F026D" w:rsidP="009F026D">
      <w:pPr>
        <w:contextualSpacing/>
        <w:rPr>
          <w:rFonts w:ascii="Times New Roman" w:hAnsi="Times New Roman" w:cs="Times New Roman"/>
          <w:b/>
          <w:sz w:val="24"/>
        </w:rPr>
      </w:pPr>
    </w:p>
    <w:sectPr w:rsidR="009F026D" w:rsidRPr="009F026D" w:rsidSect="0081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9A" w:rsidRDefault="00676D9A" w:rsidP="00B9538F">
      <w:pPr>
        <w:spacing w:before="0"/>
      </w:pPr>
      <w:r>
        <w:separator/>
      </w:r>
    </w:p>
  </w:endnote>
  <w:endnote w:type="continuationSeparator" w:id="1">
    <w:p w:rsidR="00676D9A" w:rsidRDefault="00676D9A" w:rsidP="00B9538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D" w:rsidRDefault="009F026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D" w:rsidRDefault="009F026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D" w:rsidRDefault="009F02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9A" w:rsidRDefault="00676D9A" w:rsidP="00B9538F">
      <w:pPr>
        <w:spacing w:before="0"/>
      </w:pPr>
      <w:r>
        <w:separator/>
      </w:r>
    </w:p>
  </w:footnote>
  <w:footnote w:type="continuationSeparator" w:id="1">
    <w:p w:rsidR="00676D9A" w:rsidRDefault="00676D9A" w:rsidP="00B9538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D" w:rsidRDefault="009F026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F" w:rsidRPr="00B9538F" w:rsidRDefault="00B9538F" w:rsidP="00B9538F">
    <w:pPr>
      <w:pStyle w:val="Hlavika"/>
      <w:jc w:val="center"/>
      <w:rPr>
        <w:sz w:val="32"/>
      </w:rPr>
    </w:pPr>
    <w:r w:rsidRPr="00B9538F">
      <w:rPr>
        <w:sz w:val="32"/>
      </w:rPr>
      <w:t>Daň z príjmov FO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D" w:rsidRDefault="009F026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F60"/>
    <w:multiLevelType w:val="hybridMultilevel"/>
    <w:tmpl w:val="99C6AA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32034"/>
    <w:multiLevelType w:val="hybridMultilevel"/>
    <w:tmpl w:val="289EB8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B1C"/>
    <w:multiLevelType w:val="hybridMultilevel"/>
    <w:tmpl w:val="8BCCA430"/>
    <w:lvl w:ilvl="0" w:tplc="19960D82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6F8E"/>
    <w:multiLevelType w:val="hybridMultilevel"/>
    <w:tmpl w:val="F8C06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79DA"/>
    <w:multiLevelType w:val="hybridMultilevel"/>
    <w:tmpl w:val="D4F69F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FA12E8"/>
    <w:multiLevelType w:val="hybridMultilevel"/>
    <w:tmpl w:val="1C9295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5260B"/>
    <w:multiLevelType w:val="hybridMultilevel"/>
    <w:tmpl w:val="FD68465C"/>
    <w:lvl w:ilvl="0" w:tplc="0BCA82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511EE"/>
    <w:multiLevelType w:val="hybridMultilevel"/>
    <w:tmpl w:val="40D81760"/>
    <w:lvl w:ilvl="0" w:tplc="2BCEC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568AD"/>
    <w:multiLevelType w:val="hybridMultilevel"/>
    <w:tmpl w:val="1FE4AF80"/>
    <w:lvl w:ilvl="0" w:tplc="19960D82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353F4"/>
    <w:multiLevelType w:val="hybridMultilevel"/>
    <w:tmpl w:val="8E9A18EE"/>
    <w:lvl w:ilvl="0" w:tplc="55BE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06281"/>
    <w:multiLevelType w:val="hybridMultilevel"/>
    <w:tmpl w:val="685AE194"/>
    <w:lvl w:ilvl="0" w:tplc="F1FCD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E6148"/>
    <w:multiLevelType w:val="hybridMultilevel"/>
    <w:tmpl w:val="A79690E0"/>
    <w:lvl w:ilvl="0" w:tplc="19960D82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A7838"/>
    <w:multiLevelType w:val="hybridMultilevel"/>
    <w:tmpl w:val="9A7C1B8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8033E4"/>
    <w:multiLevelType w:val="hybridMultilevel"/>
    <w:tmpl w:val="FFB453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F44B0"/>
    <w:multiLevelType w:val="hybridMultilevel"/>
    <w:tmpl w:val="9B161A9A"/>
    <w:lvl w:ilvl="0" w:tplc="E9B6A34C">
      <w:start w:val="1"/>
      <w:numFmt w:val="lowerLetter"/>
      <w:lvlText w:val="%1."/>
      <w:lvlJc w:val="left"/>
      <w:pPr>
        <w:ind w:left="1211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D64A60"/>
    <w:multiLevelType w:val="hybridMultilevel"/>
    <w:tmpl w:val="31723042"/>
    <w:lvl w:ilvl="0" w:tplc="19960D82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8F"/>
    <w:rsid w:val="000C05AC"/>
    <w:rsid w:val="000D41E5"/>
    <w:rsid w:val="000D600C"/>
    <w:rsid w:val="00164DCD"/>
    <w:rsid w:val="001A583B"/>
    <w:rsid w:val="001D1FA5"/>
    <w:rsid w:val="001D3ED4"/>
    <w:rsid w:val="00232F58"/>
    <w:rsid w:val="003A065E"/>
    <w:rsid w:val="00477372"/>
    <w:rsid w:val="00540E27"/>
    <w:rsid w:val="00585CAA"/>
    <w:rsid w:val="005E7F96"/>
    <w:rsid w:val="00673803"/>
    <w:rsid w:val="00676D9A"/>
    <w:rsid w:val="00697A56"/>
    <w:rsid w:val="007B3448"/>
    <w:rsid w:val="007D576A"/>
    <w:rsid w:val="00810C8B"/>
    <w:rsid w:val="00895473"/>
    <w:rsid w:val="008B2EB2"/>
    <w:rsid w:val="00901875"/>
    <w:rsid w:val="009C557A"/>
    <w:rsid w:val="009F026D"/>
    <w:rsid w:val="009F711F"/>
    <w:rsid w:val="00A64C2B"/>
    <w:rsid w:val="00B9538F"/>
    <w:rsid w:val="00CD547B"/>
    <w:rsid w:val="00CF5764"/>
    <w:rsid w:val="00D10B63"/>
    <w:rsid w:val="00D2417A"/>
    <w:rsid w:val="00D26807"/>
    <w:rsid w:val="00D74094"/>
    <w:rsid w:val="00D836AE"/>
    <w:rsid w:val="00DB5D34"/>
    <w:rsid w:val="00FB3953"/>
    <w:rsid w:val="00F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4C2B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B9538F"/>
  </w:style>
  <w:style w:type="character" w:customStyle="1" w:styleId="apple-converted-space">
    <w:name w:val="apple-converted-space"/>
    <w:basedOn w:val="Predvolenpsmoodseku"/>
    <w:rsid w:val="00B9538F"/>
  </w:style>
  <w:style w:type="paragraph" w:styleId="Hlavika">
    <w:name w:val="header"/>
    <w:basedOn w:val="Normlny"/>
    <w:link w:val="HlavikaChar"/>
    <w:uiPriority w:val="99"/>
    <w:semiHidden/>
    <w:unhideWhenUsed/>
    <w:rsid w:val="00B9538F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9538F"/>
  </w:style>
  <w:style w:type="paragraph" w:styleId="Pta">
    <w:name w:val="footer"/>
    <w:basedOn w:val="Normlny"/>
    <w:link w:val="PtaChar"/>
    <w:uiPriority w:val="99"/>
    <w:semiHidden/>
    <w:unhideWhenUsed/>
    <w:rsid w:val="00B9538F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semiHidden/>
    <w:rsid w:val="00B9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72D-DC96-4957-AFB9-5863C06A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</dc:creator>
  <cp:keywords/>
  <dc:description/>
  <cp:lastModifiedBy>Mates</cp:lastModifiedBy>
  <cp:revision>4</cp:revision>
  <dcterms:created xsi:type="dcterms:W3CDTF">2011-02-23T11:34:00Z</dcterms:created>
  <dcterms:modified xsi:type="dcterms:W3CDTF">2011-02-25T13:02:00Z</dcterms:modified>
</cp:coreProperties>
</file>